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2E79FE08" w:rsidR="00407CAA" w:rsidRPr="00D505F6" w:rsidRDefault="004F4BA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Academic Officer 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3D49A6EB" w:rsidR="00A44A8A" w:rsidRPr="00D505F6" w:rsidRDefault="004F4BA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Alice Hynes 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640F697" w:rsidR="00407CAA" w:rsidRPr="00D505F6" w:rsidRDefault="004F4BA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16/09/2021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6870755C" w:rsidR="00407CAA" w:rsidRPr="00D505F6" w:rsidRDefault="004F4BA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Rep Recruitment </w:t>
            </w:r>
          </w:p>
        </w:tc>
        <w:tc>
          <w:tcPr>
            <w:tcW w:w="7980" w:type="dxa"/>
          </w:tcPr>
          <w:p w14:paraId="733FE8D2" w14:textId="77777777" w:rsidR="006C2DAC" w:rsidRDefault="006C2DAC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We had two more pop-ups in week 4 and week 5. </w:t>
            </w:r>
          </w:p>
          <w:p w14:paraId="611B2B9B" w14:textId="77777777" w:rsidR="00357D99" w:rsidRDefault="006C2DAC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On Tuesday of Week 5 we went to the </w:t>
            </w:r>
            <w:r w:rsidR="00357D99">
              <w:rPr>
                <w:rFonts w:cs="Times New Roman"/>
                <w:iCs w:val="0"/>
                <w:szCs w:val="24"/>
                <w:lang w:val="en-GB"/>
              </w:rPr>
              <w:t xml:space="preserve">North Campus. The students over there really appreciated that we went over. </w:t>
            </w:r>
          </w:p>
          <w:p w14:paraId="0109847F" w14:textId="77777777" w:rsidR="00026001" w:rsidRDefault="00357D99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Courtyard pop-up on Thursday was also successful. </w:t>
            </w:r>
          </w:p>
          <w:p w14:paraId="1D25BADA" w14:textId="43936F6F" w:rsidR="005E0DD6" w:rsidRPr="00D505F6" w:rsidRDefault="0002600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145 Class reps now recruited as of Week 5. </w:t>
            </w:r>
            <w:r w:rsidR="005E0DD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63968C05" w:rsidR="00407CAA" w:rsidRPr="00D505F6" w:rsidRDefault="00166D3D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Class Rep Forums </w:t>
            </w:r>
          </w:p>
        </w:tc>
        <w:tc>
          <w:tcPr>
            <w:tcW w:w="7980" w:type="dxa"/>
          </w:tcPr>
          <w:p w14:paraId="3121F0DE" w14:textId="77777777" w:rsidR="00026001" w:rsidRDefault="00026001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hosted the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first Class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Rep Forum on Wednesday evening. Thanks to all the department reps who also attended. </w:t>
            </w:r>
          </w:p>
          <w:p w14:paraId="4CA17081" w14:textId="77777777" w:rsidR="0099687F" w:rsidRDefault="00026001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was frustrated that the </w:t>
            </w:r>
            <w:r w:rsidR="0099687F">
              <w:rPr>
                <w:rFonts w:cs="Times New Roman"/>
                <w:iCs w:val="0"/>
                <w:szCs w:val="24"/>
                <w:lang w:val="en-GB"/>
              </w:rPr>
              <w:t xml:space="preserve">presenters went over their allocated time limits. This left me short on time for the feedback section. We shared a Padlet with the class reps so they could still leave feedback and there has been some interesting points. </w:t>
            </w:r>
          </w:p>
          <w:p w14:paraId="721B3C59" w14:textId="77777777" w:rsidR="005578AD" w:rsidRDefault="0099687F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will review these and contact the relevant departments with the feedback. </w:t>
            </w:r>
            <w:r w:rsidR="005578AD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787DA80E" w14:textId="78806E7A" w:rsidR="00CC7495" w:rsidRPr="00D505F6" w:rsidRDefault="00CC7495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D1E5FF6" w:rsidR="00B151C4" w:rsidRPr="00D505F6" w:rsidRDefault="00821BFF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Availability of resources online for students </w:t>
            </w:r>
          </w:p>
        </w:tc>
        <w:tc>
          <w:tcPr>
            <w:tcW w:w="7980" w:type="dxa"/>
          </w:tcPr>
          <w:p w14:paraId="04898D56" w14:textId="77777777" w:rsidR="00B151C4" w:rsidRDefault="0083620F" w:rsidP="00B44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met with a Module leader and have been in contact </w:t>
            </w:r>
            <w:proofErr w:type="gramStart"/>
            <w:r>
              <w:rPr>
                <w:rFonts w:cs="Times New Roman"/>
                <w:szCs w:val="24"/>
              </w:rPr>
              <w:t xml:space="preserve">with </w:t>
            </w:r>
            <w:r w:rsidR="007548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</w:t>
            </w:r>
            <w:proofErr w:type="gramEnd"/>
            <w:r>
              <w:rPr>
                <w:rFonts w:cs="Times New Roman"/>
                <w:szCs w:val="24"/>
              </w:rPr>
              <w:t xml:space="preserve"> Course Director about student concerns with the lack of on-campus teaching hours. </w:t>
            </w:r>
          </w:p>
          <w:p w14:paraId="50675312" w14:textId="77777777" w:rsidR="0083620F" w:rsidRDefault="0083620F" w:rsidP="00B44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will follow up with these staff next week and keep the students up to date on any progress. </w:t>
            </w:r>
          </w:p>
          <w:p w14:paraId="097689E8" w14:textId="19E71041" w:rsidR="00CC7495" w:rsidRPr="00156E3A" w:rsidRDefault="00CC7495" w:rsidP="00B4441A">
            <w:pPr>
              <w:rPr>
                <w:rFonts w:cs="Times New Roman"/>
                <w:szCs w:val="24"/>
              </w:rPr>
            </w:pPr>
          </w:p>
        </w:tc>
      </w:tr>
      <w:tr w:rsidR="009B0EFA" w:rsidRPr="00D505F6" w14:paraId="4AD803A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3F420446" w14:textId="00F33DAE" w:rsidR="009B0EFA" w:rsidRDefault="009B0EF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CAMPG </w:t>
            </w:r>
          </w:p>
        </w:tc>
        <w:tc>
          <w:tcPr>
            <w:tcW w:w="7980" w:type="dxa"/>
          </w:tcPr>
          <w:p w14:paraId="7973775D" w14:textId="77777777" w:rsidR="00CC7495" w:rsidRDefault="0083620F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The removal of the covid </w:t>
            </w:r>
            <w:proofErr w:type="spellStart"/>
            <w:r>
              <w:rPr>
                <w:rStyle w:val="CommentReference"/>
                <w:rFonts w:cs="Times New Roman"/>
                <w:sz w:val="24"/>
                <w:szCs w:val="24"/>
              </w:rPr>
              <w:t>i</w:t>
            </w:r>
            <w:proofErr w:type="spellEnd"/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-grade was discussed at CAMPG and Academic Council during the last two weeks. </w:t>
            </w:r>
          </w:p>
          <w:p w14:paraId="00E4E7F8" w14:textId="77777777" w:rsidR="00CC7495" w:rsidRDefault="00CC749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We advocated to keep it, but it will not be kept in its current format. More updates to come on this. </w:t>
            </w:r>
          </w:p>
          <w:p w14:paraId="6BDFB6E7" w14:textId="77777777" w:rsidR="00CC7495" w:rsidRDefault="00CC749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  <w:p w14:paraId="042E1FA3" w14:textId="77777777" w:rsidR="00CC7495" w:rsidRDefault="00CC749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Also discussed concerns with Louis from the PSU about the move to the GPA system and removal of compensating fails. </w:t>
            </w:r>
          </w:p>
          <w:p w14:paraId="62AABB15" w14:textId="3EF62675" w:rsidR="00C4246E" w:rsidRDefault="004D728A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A754F" w:rsidRPr="00D505F6" w14:paraId="44871CE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3CAF2806" w14:textId="6C5F507C" w:rsidR="00BA754F" w:rsidRDefault="00BA754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Campaign </w:t>
            </w:r>
          </w:p>
        </w:tc>
        <w:tc>
          <w:tcPr>
            <w:tcW w:w="7980" w:type="dxa"/>
          </w:tcPr>
          <w:p w14:paraId="5013169A" w14:textId="77777777" w:rsidR="00BA754F" w:rsidRDefault="00BA754F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This week I ran the ‘Don’t Drop Out, Drop In’ campaign. I highlighted October 31</w:t>
            </w:r>
            <w:r w:rsidRPr="00BA754F">
              <w:rPr>
                <w:rStyle w:val="CommentReference"/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 as the deadline for exiting your course and having your fees returned to you. </w:t>
            </w:r>
            <w:r>
              <w:rPr>
                <w:rStyle w:val="CommentReference"/>
                <w:rFonts w:cs="Times New Roman"/>
                <w:sz w:val="24"/>
                <w:szCs w:val="24"/>
              </w:rPr>
              <w:br/>
            </w:r>
            <w:r w:rsidR="006A4DF7">
              <w:rPr>
                <w:rStyle w:val="CommentReference"/>
                <w:rFonts w:cs="Times New Roman"/>
                <w:sz w:val="24"/>
                <w:szCs w:val="24"/>
              </w:rPr>
              <w:t xml:space="preserve">I highlighted where students can go for support and advice on </w:t>
            </w:r>
            <w:r w:rsidR="00771D56">
              <w:rPr>
                <w:rStyle w:val="CommentReference"/>
                <w:rFonts w:cs="Times New Roman"/>
                <w:sz w:val="24"/>
                <w:szCs w:val="24"/>
              </w:rPr>
              <w:t xml:space="preserve">exiting their course or transferring to a different course. </w:t>
            </w:r>
          </w:p>
          <w:p w14:paraId="577A7BEB" w14:textId="77777777" w:rsidR="00771D56" w:rsidRDefault="00771D56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This resulted in several email queries. I referred these to our SISC service in SL and to the First Year Support Officers. </w:t>
            </w:r>
          </w:p>
          <w:p w14:paraId="269F337E" w14:textId="30BCD66A" w:rsidR="00771D56" w:rsidRDefault="00771D56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539E70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17405505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BF2A8BE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7D8BC957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2F31675F" w:rsidR="00B151C4" w:rsidRPr="00D505F6" w:rsidRDefault="0059698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CAMPG </w:t>
            </w:r>
          </w:p>
        </w:tc>
        <w:tc>
          <w:tcPr>
            <w:tcW w:w="7980" w:type="dxa"/>
          </w:tcPr>
          <w:p w14:paraId="7F5E677F" w14:textId="77777777" w:rsidR="00B151C4" w:rsidRDefault="00867FFA" w:rsidP="00B23B8B">
            <w:pPr>
              <w:textAlignment w:val="center"/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CAMPG and Academic Council involved a debate over the Covid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i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-grade. </w:t>
            </w:r>
          </w:p>
          <w:p w14:paraId="407040E0" w14:textId="77777777" w:rsidR="00867FFA" w:rsidRDefault="00867FFA" w:rsidP="00B23B8B">
            <w:pPr>
              <w:textAlignment w:val="center"/>
              <w:rPr>
                <w:rFonts w:cs="Times New Roman"/>
                <w:iCs w:val="0"/>
                <w:szCs w:val="24"/>
                <w:lang w:val="en-GB"/>
              </w:rPr>
            </w:pPr>
          </w:p>
          <w:p w14:paraId="2D4883B9" w14:textId="4C9B05F1" w:rsidR="00867FFA" w:rsidRPr="00E65F09" w:rsidRDefault="005E3DD0" w:rsidP="00B23B8B">
            <w:pPr>
              <w:textAlignment w:val="center"/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Also raised the issue of lack of study spaces, accommodation, hours on campus at CAMPG as on-going issues. </w:t>
            </w:r>
          </w:p>
        </w:tc>
      </w:tr>
      <w:tr w:rsidR="004C3835" w:rsidRPr="00D505F6" w14:paraId="226C6F6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1655373" w14:textId="13B39ABC" w:rsidR="004C3835" w:rsidRDefault="00C26305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UTEB </w:t>
            </w:r>
          </w:p>
        </w:tc>
        <w:tc>
          <w:tcPr>
            <w:tcW w:w="7980" w:type="dxa"/>
          </w:tcPr>
          <w:p w14:paraId="073F4CA8" w14:textId="250CCA9E" w:rsidR="004C3835" w:rsidRDefault="00241F73" w:rsidP="00BB0C11">
            <w:pP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 </w:t>
            </w:r>
            <w:r w:rsidR="00C26305"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Mostly EHS faculty raising concerns over teaching placements and related issues. </w:t>
            </w:r>
          </w:p>
        </w:tc>
      </w:tr>
      <w:tr w:rsidR="00B53EB5" w:rsidRPr="00D505F6" w14:paraId="137FD55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43E3DCB" w14:textId="1A9A580C" w:rsidR="00B53EB5" w:rsidRDefault="00B53EB5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EHS </w:t>
            </w:r>
            <w:r w:rsidR="00C26305">
              <w:rPr>
                <w:rFonts w:ascii="Times New Roman" w:hAnsi="Times New Roman"/>
                <w:bCs/>
                <w:sz w:val="24"/>
                <w:szCs w:val="24"/>
              </w:rPr>
              <w:t xml:space="preserve">Faculty Board </w:t>
            </w:r>
          </w:p>
        </w:tc>
        <w:tc>
          <w:tcPr>
            <w:tcW w:w="7980" w:type="dxa"/>
          </w:tcPr>
          <w:p w14:paraId="42D57F42" w14:textId="3E052333" w:rsidR="00B53EB5" w:rsidRPr="00E65F09" w:rsidRDefault="00C26305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EHS Management updated the faculty staff on </w:t>
            </w:r>
            <w:r w:rsidR="00867FFA">
              <w:rPr>
                <w:rFonts w:cs="Times New Roman"/>
                <w:iCs w:val="0"/>
                <w:szCs w:val="24"/>
                <w:lang w:val="en-GB"/>
              </w:rPr>
              <w:t xml:space="preserve">various important information and work carried out over the summer. </w:t>
            </w: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CAF5981" w:rsidR="00B151C4" w:rsidRPr="00D505F6" w:rsidRDefault="005E3DD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Review Class rep forum feedback </w:t>
            </w:r>
          </w:p>
        </w:tc>
        <w:tc>
          <w:tcPr>
            <w:tcW w:w="7980" w:type="dxa"/>
          </w:tcPr>
          <w:p w14:paraId="15A92A61" w14:textId="46E4AD93" w:rsidR="005E3DD0" w:rsidRDefault="00720B9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will </w:t>
            </w:r>
            <w:r w:rsidR="005E3DD0">
              <w:rPr>
                <w:rFonts w:cs="Times New Roman"/>
                <w:iCs w:val="0"/>
                <w:szCs w:val="24"/>
                <w:lang w:val="en-GB"/>
              </w:rPr>
              <w:t xml:space="preserve">review the feedback left by the class reps and </w:t>
            </w:r>
            <w:r w:rsidR="0044291E">
              <w:rPr>
                <w:rFonts w:cs="Times New Roman"/>
                <w:iCs w:val="0"/>
                <w:szCs w:val="24"/>
                <w:lang w:val="en-GB"/>
              </w:rPr>
              <w:t xml:space="preserve">contact various departments. </w:t>
            </w:r>
          </w:p>
          <w:p w14:paraId="4DE3AD0E" w14:textId="3272C4F5" w:rsidR="0044291E" w:rsidRDefault="0044291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7FAC0CB" w14:textId="741DC8A0" w:rsidR="0044291E" w:rsidRPr="00D505F6" w:rsidRDefault="0044291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will look for any common concerns to campaign about. </w:t>
            </w:r>
          </w:p>
          <w:p w14:paraId="32417A5C" w14:textId="752372EB" w:rsidR="00AA0B9D" w:rsidRPr="00D505F6" w:rsidRDefault="00AA0B9D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0EF3B2B6" w:rsidR="00B151C4" w:rsidRPr="00D505F6" w:rsidRDefault="0053257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Develop a doc reviewing the</w:t>
            </w:r>
            <w:r w:rsidR="00EF08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257">
              <w:rPr>
                <w:rFonts w:ascii="Times New Roman" w:hAnsi="Times New Roman"/>
                <w:bCs/>
                <w:sz w:val="24"/>
                <w:szCs w:val="24"/>
              </w:rPr>
              <w:t xml:space="preserve">Student Status Committee </w:t>
            </w:r>
            <w:r w:rsidR="00EF0897">
              <w:rPr>
                <w:rFonts w:ascii="Times New Roman" w:hAnsi="Times New Roman"/>
                <w:bCs/>
                <w:sz w:val="24"/>
                <w:szCs w:val="24"/>
              </w:rPr>
              <w:t xml:space="preserve">and Advocates </w:t>
            </w:r>
            <w:r w:rsidR="0044291E">
              <w:rPr>
                <w:rFonts w:ascii="Times New Roman" w:hAnsi="Times New Roman"/>
                <w:bCs/>
                <w:sz w:val="24"/>
                <w:szCs w:val="24"/>
              </w:rPr>
              <w:t xml:space="preserve">– ongoing </w:t>
            </w:r>
          </w:p>
        </w:tc>
        <w:tc>
          <w:tcPr>
            <w:tcW w:w="7980" w:type="dxa"/>
          </w:tcPr>
          <w:p w14:paraId="704F7901" w14:textId="77777777" w:rsidR="00B151C4" w:rsidRDefault="002F1257" w:rsidP="00EF08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There was an issue with the timeline for the SSC – students did not have enough time between waiting for the result of their grade appeal and applying to the SSC before the deadline. </w:t>
            </w:r>
            <w:r>
              <w:rPr>
                <w:rFonts w:cs="Times New Roman"/>
                <w:iCs w:val="0"/>
                <w:szCs w:val="24"/>
                <w:lang w:val="en-GB"/>
              </w:rPr>
              <w:br/>
              <w:t xml:space="preserve">Also want to clarify what are the grounds on which a grade can be changed by the SSC. </w:t>
            </w:r>
            <w:r w:rsidR="00B151C4"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247A946" w14:textId="14ADADBE" w:rsidR="00EF0897" w:rsidRPr="00D505F6" w:rsidRDefault="00EF0897" w:rsidP="00EF08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Issue over the summer with the behaviour of the advocates. </w:t>
            </w:r>
          </w:p>
        </w:tc>
      </w:tr>
      <w:tr w:rsidR="00B151C4" w:rsidRPr="00D505F6" w14:paraId="049BA3A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58429047" w:rsidR="00B151C4" w:rsidRPr="00D505F6" w:rsidRDefault="00BD38A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Work on Class Rep recruitment strategy </w:t>
            </w:r>
          </w:p>
        </w:tc>
        <w:tc>
          <w:tcPr>
            <w:tcW w:w="7980" w:type="dxa"/>
          </w:tcPr>
          <w:p w14:paraId="51A7B1BA" w14:textId="77777777" w:rsidR="00786C03" w:rsidRDefault="00786C0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We will host another pop-up on the North campus in the coming weeks. </w:t>
            </w:r>
          </w:p>
          <w:p w14:paraId="7CE00562" w14:textId="77777777" w:rsidR="00786C03" w:rsidRDefault="00786C0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2628E8CF" w14:textId="77777777" w:rsidR="008925E1" w:rsidRDefault="00786C0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We will review the recruitment strategy to date and see what has worked well and what has not. This will feed into the strategy for next </w:t>
            </w:r>
            <w:r w:rsidR="008925E1">
              <w:rPr>
                <w:rFonts w:cs="Times New Roman"/>
                <w:iCs w:val="0"/>
                <w:szCs w:val="24"/>
                <w:lang w:val="en-GB"/>
              </w:rPr>
              <w:t xml:space="preserve">year. </w:t>
            </w:r>
          </w:p>
          <w:p w14:paraId="7FCD5DFD" w14:textId="35520224" w:rsidR="00B151C4" w:rsidRPr="00D505F6" w:rsidRDefault="00322142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D38AF" w:rsidRPr="00D505F6" w14:paraId="6362266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2FB118" w14:textId="2BB12928" w:rsidR="00BD38AF" w:rsidRDefault="00BD38A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All-Student email </w:t>
            </w:r>
            <w:r w:rsidR="00F679E9">
              <w:rPr>
                <w:rFonts w:ascii="Times New Roman" w:hAnsi="Times New Roman"/>
                <w:bCs/>
                <w:sz w:val="24"/>
                <w:szCs w:val="24"/>
              </w:rPr>
              <w:t xml:space="preserve">for week 4. </w:t>
            </w:r>
          </w:p>
        </w:tc>
        <w:tc>
          <w:tcPr>
            <w:tcW w:w="7980" w:type="dxa"/>
          </w:tcPr>
          <w:p w14:paraId="6FA9E279" w14:textId="4E4DD899" w:rsidR="00BD38AF" w:rsidRPr="00D505F6" w:rsidRDefault="008925E1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Our All-Student email list was outdated. It has now been updated so we will reconsider sending an email about </w:t>
            </w:r>
            <w:r w:rsidR="005908D5">
              <w:rPr>
                <w:rFonts w:cs="Times New Roman"/>
                <w:iCs w:val="0"/>
                <w:szCs w:val="24"/>
                <w:lang w:val="en-GB"/>
              </w:rPr>
              <w:t xml:space="preserve">student representation. </w:t>
            </w:r>
            <w:r w:rsidR="00F679E9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F040EF" w:rsidRPr="00D505F6" w14:paraId="73BA113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02040DE" w14:textId="04D58FB9" w:rsidR="00F040EF" w:rsidRDefault="005908D5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Representation Newsletter </w:t>
            </w:r>
          </w:p>
        </w:tc>
        <w:tc>
          <w:tcPr>
            <w:tcW w:w="7980" w:type="dxa"/>
          </w:tcPr>
          <w:p w14:paraId="1F889B45" w14:textId="77777777" w:rsidR="00F040EF" w:rsidRDefault="005908D5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Gillian shared the idea with me about creating a bi-weekly newsletter for student reps. It could feature an update from myself or one of the Officers,</w:t>
            </w:r>
            <w:r w:rsidR="007A1E11">
              <w:rPr>
                <w:rFonts w:cs="Times New Roman"/>
                <w:iCs w:val="0"/>
                <w:szCs w:val="24"/>
                <w:lang w:val="en-GB"/>
              </w:rPr>
              <w:t xml:space="preserve"> good news stories from class reps about work they have done or achievements and any other interesting pieces that reps would like to share. </w:t>
            </w:r>
          </w:p>
          <w:p w14:paraId="706527F0" w14:textId="5ED153CC" w:rsidR="007A1E11" w:rsidRDefault="007A1E11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4B7C5238" w:rsidR="00B151C4" w:rsidRPr="00D505F6" w:rsidRDefault="00A208F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Social Media </w:t>
            </w:r>
          </w:p>
        </w:tc>
        <w:tc>
          <w:tcPr>
            <w:tcW w:w="7980" w:type="dxa"/>
          </w:tcPr>
          <w:p w14:paraId="0EF36BC9" w14:textId="159A941E" w:rsidR="007D5171" w:rsidRPr="00D505F6" w:rsidRDefault="00241F73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Instagram stories </w:t>
            </w:r>
            <w:r w:rsidR="005E59B9">
              <w:rPr>
                <w:rFonts w:cs="Times New Roman"/>
                <w:iCs w:val="0"/>
                <w:szCs w:val="24"/>
                <w:lang w:val="en-GB"/>
              </w:rPr>
              <w:t xml:space="preserve">regarding the campaign each day this week. </w:t>
            </w:r>
            <w:r w:rsidR="009E72B9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A12374F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80" w:type="dxa"/>
          </w:tcPr>
          <w:p w14:paraId="514C0170" w14:textId="77777777" w:rsidR="00657129" w:rsidRDefault="005E59B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Supported 17 students over email this week. Most common topics were </w:t>
            </w:r>
            <w:r w:rsidR="006A331B">
              <w:rPr>
                <w:rFonts w:cs="Times New Roman"/>
                <w:iCs w:val="0"/>
                <w:szCs w:val="24"/>
                <w:lang w:val="en-GB"/>
              </w:rPr>
              <w:t xml:space="preserve">Representation queries and Course transfers / exit queries. </w:t>
            </w:r>
          </w:p>
          <w:p w14:paraId="384675F1" w14:textId="4E3E90F6" w:rsidR="006A331B" w:rsidRPr="00D505F6" w:rsidRDefault="006A331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16B57DB2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Pop-ups </w:t>
            </w:r>
          </w:p>
        </w:tc>
        <w:tc>
          <w:tcPr>
            <w:tcW w:w="7980" w:type="dxa"/>
          </w:tcPr>
          <w:p w14:paraId="4E27218A" w14:textId="77777777" w:rsidR="00B151C4" w:rsidRDefault="00DD464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Chatting to students for 4 hours each week at our pop-up stand in the courtyard. </w:t>
            </w:r>
            <w:r w:rsidR="005773F1">
              <w:rPr>
                <w:rFonts w:cs="Times New Roman"/>
                <w:iCs w:val="0"/>
                <w:szCs w:val="24"/>
                <w:lang w:val="en-GB"/>
              </w:rPr>
              <w:t xml:space="preserve">Answering any </w:t>
            </w:r>
            <w:proofErr w:type="gramStart"/>
            <w:r w:rsidR="005773F1">
              <w:rPr>
                <w:rFonts w:cs="Times New Roman"/>
                <w:iCs w:val="0"/>
                <w:szCs w:val="24"/>
                <w:lang w:val="en-GB"/>
              </w:rPr>
              <w:t>questions</w:t>
            </w:r>
            <w:proofErr w:type="gramEnd"/>
            <w:r w:rsidR="005773F1">
              <w:rPr>
                <w:rFonts w:cs="Times New Roman"/>
                <w:iCs w:val="0"/>
                <w:szCs w:val="24"/>
                <w:lang w:val="en-GB"/>
              </w:rPr>
              <w:t xml:space="preserve"> they may have about student representation and encouraging participation. Free tea and coffee to encourage students to come over to us. </w:t>
            </w:r>
          </w:p>
          <w:p w14:paraId="0CE94925" w14:textId="75475F7C" w:rsidR="006A331B" w:rsidRPr="00D505F6" w:rsidRDefault="006A331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10AB94BF" w:rsidR="00B151C4" w:rsidRPr="00D505F6" w:rsidRDefault="009E72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meetings </w:t>
            </w:r>
          </w:p>
        </w:tc>
        <w:tc>
          <w:tcPr>
            <w:tcW w:w="7980" w:type="dxa"/>
          </w:tcPr>
          <w:p w14:paraId="4BAE5C6B" w14:textId="77777777" w:rsidR="006A331B" w:rsidRDefault="009E72B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a student to discuss the fact that a lot of his course had moved to online learning instead of on campus. </w:t>
            </w:r>
            <w:r w:rsidR="006A331B">
              <w:rPr>
                <w:rFonts w:cs="Times New Roman"/>
                <w:iCs w:val="0"/>
                <w:szCs w:val="24"/>
                <w:lang w:val="en-GB"/>
              </w:rPr>
              <w:t xml:space="preserve">I raised his concerns with the Course Leader and will update him when I hear back. </w:t>
            </w:r>
          </w:p>
          <w:p w14:paraId="4854A7AA" w14:textId="4679DA09" w:rsidR="00B151C4" w:rsidRPr="00D505F6" w:rsidRDefault="009E72B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6A331B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A68C42A" w:rsidR="006A331B" w:rsidRPr="00D505F6" w:rsidRDefault="006A331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1D98C026" w:rsidR="006A331B" w:rsidRPr="00D505F6" w:rsidRDefault="006A331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6A331B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5772E644" w:rsidR="006A331B" w:rsidRPr="00D505F6" w:rsidRDefault="006A331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303A4910" w:rsidR="006A331B" w:rsidRPr="00D505F6" w:rsidRDefault="006A331B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1F71" w14:textId="77777777" w:rsidR="00EF0816" w:rsidRDefault="00EF0816">
      <w:r>
        <w:separator/>
      </w:r>
    </w:p>
  </w:endnote>
  <w:endnote w:type="continuationSeparator" w:id="0">
    <w:p w14:paraId="0491E7D9" w14:textId="77777777" w:rsidR="00EF0816" w:rsidRDefault="00E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4EB6" w14:textId="77777777" w:rsidR="00EF0816" w:rsidRDefault="00EF0816">
      <w:r>
        <w:separator/>
      </w:r>
    </w:p>
  </w:footnote>
  <w:footnote w:type="continuationSeparator" w:id="0">
    <w:p w14:paraId="2ED009DD" w14:textId="77777777" w:rsidR="00EF0816" w:rsidRDefault="00EF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1BA2"/>
    <w:multiLevelType w:val="multilevel"/>
    <w:tmpl w:val="A8F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4787"/>
    <w:multiLevelType w:val="multilevel"/>
    <w:tmpl w:val="94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2"/>
  </w:num>
  <w:num w:numId="5">
    <w:abstractNumId w:val="16"/>
  </w:num>
  <w:num w:numId="6">
    <w:abstractNumId w:val="36"/>
  </w:num>
  <w:num w:numId="7">
    <w:abstractNumId w:val="3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31"/>
  </w:num>
  <w:num w:numId="14">
    <w:abstractNumId w:val="8"/>
  </w:num>
  <w:num w:numId="15">
    <w:abstractNumId w:val="14"/>
  </w:num>
  <w:num w:numId="16">
    <w:abstractNumId w:val="37"/>
  </w:num>
  <w:num w:numId="17">
    <w:abstractNumId w:val="30"/>
  </w:num>
  <w:num w:numId="18">
    <w:abstractNumId w:val="5"/>
  </w:num>
  <w:num w:numId="19">
    <w:abstractNumId w:val="28"/>
  </w:num>
  <w:num w:numId="20">
    <w:abstractNumId w:val="35"/>
  </w:num>
  <w:num w:numId="21">
    <w:abstractNumId w:val="13"/>
  </w:num>
  <w:num w:numId="22">
    <w:abstractNumId w:val="10"/>
  </w:num>
  <w:num w:numId="23">
    <w:abstractNumId w:val="21"/>
  </w:num>
  <w:num w:numId="24">
    <w:abstractNumId w:val="1"/>
  </w:num>
  <w:num w:numId="25">
    <w:abstractNumId w:val="23"/>
  </w:num>
  <w:num w:numId="26">
    <w:abstractNumId w:val="25"/>
  </w:num>
  <w:num w:numId="27">
    <w:abstractNumId w:val="3"/>
  </w:num>
  <w:num w:numId="28">
    <w:abstractNumId w:val="18"/>
  </w:num>
  <w:num w:numId="29">
    <w:abstractNumId w:val="20"/>
  </w:num>
  <w:num w:numId="30">
    <w:abstractNumId w:val="17"/>
  </w:num>
  <w:num w:numId="31">
    <w:abstractNumId w:val="29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9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001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8663A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F43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6D3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D19"/>
    <w:rsid w:val="00230F14"/>
    <w:rsid w:val="00231A20"/>
    <w:rsid w:val="00241769"/>
    <w:rsid w:val="00241F73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A7C87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257"/>
    <w:rsid w:val="00301A97"/>
    <w:rsid w:val="00302765"/>
    <w:rsid w:val="003048A6"/>
    <w:rsid w:val="00306AA2"/>
    <w:rsid w:val="00311259"/>
    <w:rsid w:val="0031703F"/>
    <w:rsid w:val="00317720"/>
    <w:rsid w:val="0031774A"/>
    <w:rsid w:val="00322142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47BB"/>
    <w:rsid w:val="00356453"/>
    <w:rsid w:val="00357D99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91E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4AAE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3835"/>
    <w:rsid w:val="004C6028"/>
    <w:rsid w:val="004D04CF"/>
    <w:rsid w:val="004D4EFE"/>
    <w:rsid w:val="004D6DFD"/>
    <w:rsid w:val="004D728A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BA2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579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578AD"/>
    <w:rsid w:val="0056024D"/>
    <w:rsid w:val="00560821"/>
    <w:rsid w:val="00562106"/>
    <w:rsid w:val="00563C19"/>
    <w:rsid w:val="00564339"/>
    <w:rsid w:val="00567297"/>
    <w:rsid w:val="0057426C"/>
    <w:rsid w:val="005752FE"/>
    <w:rsid w:val="005773F1"/>
    <w:rsid w:val="005773F6"/>
    <w:rsid w:val="00581B10"/>
    <w:rsid w:val="005871F1"/>
    <w:rsid w:val="005908D5"/>
    <w:rsid w:val="005915C4"/>
    <w:rsid w:val="00593116"/>
    <w:rsid w:val="00594603"/>
    <w:rsid w:val="00595990"/>
    <w:rsid w:val="00595CB7"/>
    <w:rsid w:val="00596984"/>
    <w:rsid w:val="00597297"/>
    <w:rsid w:val="005A06F8"/>
    <w:rsid w:val="005A1D3D"/>
    <w:rsid w:val="005A35ED"/>
    <w:rsid w:val="005A3FF7"/>
    <w:rsid w:val="005A4F5A"/>
    <w:rsid w:val="005B323B"/>
    <w:rsid w:val="005B426F"/>
    <w:rsid w:val="005B4EDC"/>
    <w:rsid w:val="005B6CCA"/>
    <w:rsid w:val="005C009D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0DD6"/>
    <w:rsid w:val="005E3B89"/>
    <w:rsid w:val="005E3DD0"/>
    <w:rsid w:val="005E533A"/>
    <w:rsid w:val="005E59B9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129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1EF4"/>
    <w:rsid w:val="006A2FAC"/>
    <w:rsid w:val="006A331B"/>
    <w:rsid w:val="006A4DF7"/>
    <w:rsid w:val="006A6BA3"/>
    <w:rsid w:val="006A74FB"/>
    <w:rsid w:val="006B01C6"/>
    <w:rsid w:val="006B5E9D"/>
    <w:rsid w:val="006B68D9"/>
    <w:rsid w:val="006C2DAC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0B9E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5483F"/>
    <w:rsid w:val="00755CF9"/>
    <w:rsid w:val="00761C31"/>
    <w:rsid w:val="00764B01"/>
    <w:rsid w:val="0076763E"/>
    <w:rsid w:val="00767720"/>
    <w:rsid w:val="00767B77"/>
    <w:rsid w:val="00771D56"/>
    <w:rsid w:val="00773B3B"/>
    <w:rsid w:val="007824E8"/>
    <w:rsid w:val="00782793"/>
    <w:rsid w:val="00783434"/>
    <w:rsid w:val="00783439"/>
    <w:rsid w:val="00786C03"/>
    <w:rsid w:val="00790090"/>
    <w:rsid w:val="0079228B"/>
    <w:rsid w:val="00794BF4"/>
    <w:rsid w:val="007A1E11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5171"/>
    <w:rsid w:val="007D7841"/>
    <w:rsid w:val="007E00D2"/>
    <w:rsid w:val="007E1751"/>
    <w:rsid w:val="007E77CC"/>
    <w:rsid w:val="007E7BA5"/>
    <w:rsid w:val="007F12E3"/>
    <w:rsid w:val="007F4384"/>
    <w:rsid w:val="008006D7"/>
    <w:rsid w:val="008068F3"/>
    <w:rsid w:val="008122AA"/>
    <w:rsid w:val="00813CA8"/>
    <w:rsid w:val="008163E8"/>
    <w:rsid w:val="00821BFF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620F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67FFA"/>
    <w:rsid w:val="0087405A"/>
    <w:rsid w:val="008745C3"/>
    <w:rsid w:val="00890F5C"/>
    <w:rsid w:val="008915A3"/>
    <w:rsid w:val="00891C9E"/>
    <w:rsid w:val="008925E1"/>
    <w:rsid w:val="00893A3E"/>
    <w:rsid w:val="00894C40"/>
    <w:rsid w:val="00894E09"/>
    <w:rsid w:val="00895E56"/>
    <w:rsid w:val="008A4B50"/>
    <w:rsid w:val="008B0F05"/>
    <w:rsid w:val="008B1900"/>
    <w:rsid w:val="008B1CB2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0634"/>
    <w:rsid w:val="00965D3C"/>
    <w:rsid w:val="0097125B"/>
    <w:rsid w:val="0097394B"/>
    <w:rsid w:val="00973D87"/>
    <w:rsid w:val="00973F7D"/>
    <w:rsid w:val="0097632B"/>
    <w:rsid w:val="00976E2E"/>
    <w:rsid w:val="009813CD"/>
    <w:rsid w:val="00983D9C"/>
    <w:rsid w:val="00994272"/>
    <w:rsid w:val="0099497A"/>
    <w:rsid w:val="0099687F"/>
    <w:rsid w:val="009970A7"/>
    <w:rsid w:val="009A1036"/>
    <w:rsid w:val="009A27F2"/>
    <w:rsid w:val="009A3127"/>
    <w:rsid w:val="009A3425"/>
    <w:rsid w:val="009A38B3"/>
    <w:rsid w:val="009A3F65"/>
    <w:rsid w:val="009A6552"/>
    <w:rsid w:val="009B0EFA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60C"/>
    <w:rsid w:val="009D5CC2"/>
    <w:rsid w:val="009E02C6"/>
    <w:rsid w:val="009E1C42"/>
    <w:rsid w:val="009E72B9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8FB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3A86"/>
    <w:rsid w:val="00A44A8A"/>
    <w:rsid w:val="00A44F31"/>
    <w:rsid w:val="00A44FC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666D7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0B9D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7E2"/>
    <w:rsid w:val="00B151C4"/>
    <w:rsid w:val="00B17B8D"/>
    <w:rsid w:val="00B205FD"/>
    <w:rsid w:val="00B20A16"/>
    <w:rsid w:val="00B221FB"/>
    <w:rsid w:val="00B224F5"/>
    <w:rsid w:val="00B225D4"/>
    <w:rsid w:val="00B23B8B"/>
    <w:rsid w:val="00B250A0"/>
    <w:rsid w:val="00B2600E"/>
    <w:rsid w:val="00B264BC"/>
    <w:rsid w:val="00B268EB"/>
    <w:rsid w:val="00B328FF"/>
    <w:rsid w:val="00B34220"/>
    <w:rsid w:val="00B42DEC"/>
    <w:rsid w:val="00B43744"/>
    <w:rsid w:val="00B4441A"/>
    <w:rsid w:val="00B44885"/>
    <w:rsid w:val="00B467E2"/>
    <w:rsid w:val="00B46E16"/>
    <w:rsid w:val="00B51256"/>
    <w:rsid w:val="00B529B6"/>
    <w:rsid w:val="00B52C9E"/>
    <w:rsid w:val="00B52EDF"/>
    <w:rsid w:val="00B53EB5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51E0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754F"/>
    <w:rsid w:val="00BB0C11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38AF"/>
    <w:rsid w:val="00BE0B51"/>
    <w:rsid w:val="00BE2AE8"/>
    <w:rsid w:val="00BE414C"/>
    <w:rsid w:val="00BF1DE7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305"/>
    <w:rsid w:val="00C264B8"/>
    <w:rsid w:val="00C27E7A"/>
    <w:rsid w:val="00C30291"/>
    <w:rsid w:val="00C3366A"/>
    <w:rsid w:val="00C33815"/>
    <w:rsid w:val="00C369B4"/>
    <w:rsid w:val="00C37E70"/>
    <w:rsid w:val="00C4246E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C7495"/>
    <w:rsid w:val="00CD2397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4A5A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586E"/>
    <w:rsid w:val="00DA0063"/>
    <w:rsid w:val="00DA08FF"/>
    <w:rsid w:val="00DA0B99"/>
    <w:rsid w:val="00DA1FC5"/>
    <w:rsid w:val="00DA75EB"/>
    <w:rsid w:val="00DB072A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679F"/>
    <w:rsid w:val="00DC7E66"/>
    <w:rsid w:val="00DD0EBB"/>
    <w:rsid w:val="00DD4649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7168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16A"/>
    <w:rsid w:val="00E35CDE"/>
    <w:rsid w:val="00E36A26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5F09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816"/>
    <w:rsid w:val="00EF0897"/>
    <w:rsid w:val="00EF0B8B"/>
    <w:rsid w:val="00EF2314"/>
    <w:rsid w:val="00EF55F3"/>
    <w:rsid w:val="00EF5AE3"/>
    <w:rsid w:val="00F01DB1"/>
    <w:rsid w:val="00F01F45"/>
    <w:rsid w:val="00F040EF"/>
    <w:rsid w:val="00F052E1"/>
    <w:rsid w:val="00F05F0F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9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4" ma:contentTypeDescription="Create a new document." ma:contentTypeScope="" ma:versionID="376867f9a17493b83f2d1c0e575c9034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ad399d8fc4773738927f36aea9b263ba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B8296-632C-470C-826F-8FA13334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3</Pages>
  <Words>806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Alice Hynes</cp:lastModifiedBy>
  <cp:revision>27</cp:revision>
  <cp:lastPrinted>2018-09-14T09:01:00Z</cp:lastPrinted>
  <dcterms:created xsi:type="dcterms:W3CDTF">2021-09-30T14:29:00Z</dcterms:created>
  <dcterms:modified xsi:type="dcterms:W3CDTF">2021-10-08T15:55:00Z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